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CE" w:rsidRDefault="001064CE" w:rsidP="0059499D">
      <w:pPr>
        <w:pStyle w:val="NormalWeb"/>
        <w:bidi/>
        <w:spacing w:before="0" w:beforeAutospacing="0" w:after="0" w:afterAutospacing="0"/>
        <w:rPr>
          <w:rFonts w:ascii="Arial" w:hAnsi="Arial" w:cs="Arial"/>
          <w:color w:val="000000"/>
          <w:sz w:val="22"/>
          <w:szCs w:val="22"/>
          <w:rtl/>
        </w:rPr>
      </w:pPr>
      <w:bookmarkStart w:id="0" w:name="_GoBack"/>
      <w:r w:rsidRPr="001064CE">
        <w:rPr>
          <w:rFonts w:ascii="Arial" w:hAnsi="Arial" w:cs="Arial" w:hint="cs"/>
          <w:b/>
          <w:bCs/>
          <w:color w:val="000000"/>
          <w:sz w:val="30"/>
          <w:szCs w:val="30"/>
          <w:u w:val="single"/>
          <w:rtl/>
        </w:rPr>
        <w:t>הפטר מחובות במסגרת הוצאה לפועל</w:t>
      </w:r>
      <w:r w:rsidR="0059499D">
        <w:rPr>
          <w:rFonts w:ascii="Arial" w:hAnsi="Arial" w:cs="Arial" w:hint="cs"/>
          <w:b/>
          <w:bCs/>
          <w:color w:val="000000"/>
          <w:sz w:val="30"/>
          <w:szCs w:val="30"/>
          <w:u w:val="single"/>
          <w:rtl/>
        </w:rPr>
        <w:t>- מתן הפטר לחייב מוגבל באמצעים</w:t>
      </w:r>
      <w:r w:rsidR="0059499D">
        <w:rPr>
          <w:rFonts w:ascii="Arial" w:hAnsi="Arial" w:cs="Arial"/>
          <w:color w:val="000000"/>
          <w:sz w:val="22"/>
          <w:szCs w:val="22"/>
          <w:rtl/>
        </w:rPr>
        <w:t xml:space="preserve"> </w:t>
      </w:r>
    </w:p>
    <w:bookmarkEnd w:id="0"/>
    <w:p w:rsidR="007166D2" w:rsidRDefault="007166D2" w:rsidP="001064CE">
      <w:pPr>
        <w:pStyle w:val="NormalWeb"/>
        <w:bidi/>
        <w:spacing w:before="0" w:beforeAutospacing="0" w:after="0" w:afterAutospacing="0"/>
        <w:rPr>
          <w:rFonts w:ascii="Arial" w:hAnsi="Arial" w:cs="Arial"/>
          <w:color w:val="000000"/>
          <w:sz w:val="22"/>
          <w:szCs w:val="22"/>
          <w:rtl/>
        </w:rPr>
      </w:pPr>
    </w:p>
    <w:p w:rsidR="007166D2" w:rsidRDefault="007166D2" w:rsidP="007166D2">
      <w:pPr>
        <w:pStyle w:val="NormalWeb"/>
        <w:bidi/>
        <w:spacing w:before="0" w:beforeAutospacing="0" w:after="0" w:afterAutospacing="0"/>
        <w:rPr>
          <w:rFonts w:ascii="Arial" w:hAnsi="Arial" w:cs="Arial"/>
          <w:color w:val="000000"/>
          <w:sz w:val="22"/>
          <w:szCs w:val="22"/>
          <w:rtl/>
        </w:rPr>
      </w:pPr>
    </w:p>
    <w:p w:rsidR="007166D2" w:rsidRPr="00637B09" w:rsidRDefault="007166D2" w:rsidP="00637B09">
      <w:pPr>
        <w:pStyle w:val="NormalWeb"/>
        <w:bidi/>
        <w:spacing w:before="0" w:beforeAutospacing="0" w:after="0" w:afterAutospacing="0" w:line="360" w:lineRule="auto"/>
        <w:jc w:val="both"/>
        <w:rPr>
          <w:rFonts w:ascii="David" w:hAnsi="David" w:cs="David"/>
          <w:color w:val="000000"/>
          <w:rtl/>
        </w:rPr>
      </w:pPr>
    </w:p>
    <w:p w:rsidR="0059499D" w:rsidRDefault="0059499D" w:rsidP="0059499D">
      <w:pPr>
        <w:pStyle w:val="NormalWeb"/>
        <w:bidi/>
        <w:spacing w:before="0" w:beforeAutospacing="0" w:after="0" w:afterAutospacing="0" w:line="360" w:lineRule="auto"/>
        <w:jc w:val="both"/>
        <w:rPr>
          <w:rFonts w:ascii="David" w:hAnsi="David" w:cs="David"/>
          <w:color w:val="000000"/>
          <w:rtl/>
        </w:rPr>
      </w:pPr>
      <w:r>
        <w:rPr>
          <w:rFonts w:ascii="David" w:hAnsi="David" w:cs="David" w:hint="cs"/>
          <w:color w:val="000000"/>
          <w:rtl/>
        </w:rPr>
        <w:t xml:space="preserve">הפטר </w:t>
      </w:r>
      <w:r>
        <w:rPr>
          <w:rFonts w:ascii="David" w:hAnsi="David" w:cs="David"/>
          <w:color w:val="000000"/>
          <w:rtl/>
        </w:rPr>
        <w:t>–</w:t>
      </w:r>
      <w:r>
        <w:rPr>
          <w:rFonts w:ascii="David" w:hAnsi="David" w:cs="David" w:hint="cs"/>
          <w:color w:val="000000"/>
          <w:rtl/>
        </w:rPr>
        <w:t>במסגרת הליכי הוצאה לפועל מוכר גם כ</w:t>
      </w:r>
      <w:r w:rsidR="00637B09" w:rsidRPr="00637B09">
        <w:rPr>
          <w:rFonts w:ascii="David" w:hAnsi="David" w:cs="David"/>
          <w:color w:val="000000"/>
          <w:rtl/>
        </w:rPr>
        <w:t>"</w:t>
      </w:r>
      <w:r w:rsidR="001064CE" w:rsidRPr="00637B09">
        <w:rPr>
          <w:rFonts w:ascii="David" w:hAnsi="David" w:cs="David"/>
          <w:color w:val="000000"/>
          <w:rtl/>
        </w:rPr>
        <w:t>חוק השמיטה</w:t>
      </w:r>
      <w:r w:rsidR="00637B09" w:rsidRPr="00637B09">
        <w:rPr>
          <w:rFonts w:ascii="David" w:hAnsi="David" w:cs="David"/>
          <w:color w:val="000000"/>
          <w:rtl/>
        </w:rPr>
        <w:t>"</w:t>
      </w:r>
      <w:r>
        <w:rPr>
          <w:rFonts w:ascii="David" w:hAnsi="David" w:cs="David" w:hint="cs"/>
          <w:color w:val="000000"/>
          <w:rtl/>
        </w:rPr>
        <w:t>.</w:t>
      </w:r>
    </w:p>
    <w:p w:rsidR="001064CE" w:rsidRPr="00637B09" w:rsidRDefault="0059499D" w:rsidP="0059499D">
      <w:pPr>
        <w:pStyle w:val="NormalWeb"/>
        <w:bidi/>
        <w:spacing w:before="0" w:beforeAutospacing="0" w:after="0" w:afterAutospacing="0" w:line="360" w:lineRule="auto"/>
        <w:jc w:val="both"/>
        <w:rPr>
          <w:rFonts w:ascii="David" w:hAnsi="David" w:cs="David"/>
          <w:color w:val="000000"/>
        </w:rPr>
      </w:pPr>
      <w:r>
        <w:rPr>
          <w:rFonts w:ascii="David" w:hAnsi="David" w:cs="David" w:hint="cs"/>
          <w:color w:val="000000"/>
          <w:rtl/>
        </w:rPr>
        <w:t>אם כך, כיצד הפטר כזה</w:t>
      </w:r>
      <w:r w:rsidR="001064CE" w:rsidRPr="00637B09">
        <w:rPr>
          <w:rFonts w:ascii="David" w:hAnsi="David" w:cs="David"/>
          <w:color w:val="000000"/>
          <w:rtl/>
        </w:rPr>
        <w:t xml:space="preserve"> יכול לעזור לך</w:t>
      </w:r>
      <w:r>
        <w:rPr>
          <w:rFonts w:ascii="David" w:hAnsi="David" w:cs="David" w:hint="cs"/>
          <w:color w:val="000000"/>
          <w:rtl/>
        </w:rPr>
        <w:t>-</w:t>
      </w:r>
      <w:r w:rsidR="001064CE" w:rsidRPr="00637B09">
        <w:rPr>
          <w:rFonts w:ascii="David" w:hAnsi="David" w:cs="David"/>
          <w:color w:val="000000"/>
          <w:rtl/>
        </w:rPr>
        <w:t xml:space="preserve"> החייב ?</w:t>
      </w:r>
      <w:r>
        <w:rPr>
          <w:rFonts w:ascii="David" w:hAnsi="David" w:cs="David" w:hint="cs"/>
          <w:color w:val="000000"/>
          <w:rtl/>
        </w:rPr>
        <w:t xml:space="preserve"> והאם הוא חל גם על חובות מחוץ להליכי ההוצאה לפועל? </w:t>
      </w:r>
      <w:r w:rsidR="001064CE" w:rsidRPr="00637B09">
        <w:rPr>
          <w:rFonts w:ascii="David" w:hAnsi="David" w:cs="David"/>
          <w:color w:val="000000"/>
          <w:rtl/>
        </w:rPr>
        <w:t xml:space="preserve"> </w:t>
      </w:r>
    </w:p>
    <w:p w:rsidR="00637B09" w:rsidRPr="00637B09" w:rsidRDefault="00637B09" w:rsidP="00637B09">
      <w:pPr>
        <w:pStyle w:val="NormalWeb"/>
        <w:bidi/>
        <w:spacing w:before="0" w:beforeAutospacing="0" w:after="0" w:afterAutospacing="0" w:line="360" w:lineRule="auto"/>
        <w:jc w:val="both"/>
        <w:rPr>
          <w:rFonts w:ascii="David" w:hAnsi="David" w:cs="David"/>
          <w:color w:val="000000"/>
          <w:rtl/>
        </w:rPr>
      </w:pPr>
    </w:p>
    <w:p w:rsidR="00637B09" w:rsidRPr="00637B09" w:rsidRDefault="00637B09" w:rsidP="009A2644">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 xml:space="preserve">ביום </w:t>
      </w:r>
      <w:r w:rsidR="005B31AA">
        <w:rPr>
          <w:rFonts w:ascii="David" w:hAnsi="David" w:cs="David" w:hint="cs"/>
          <w:color w:val="000000"/>
          <w:rtl/>
        </w:rPr>
        <w:t>6/09/15 נכנס לתוקפה הוראת שעה</w:t>
      </w:r>
      <w:r w:rsidR="002D6240">
        <w:rPr>
          <w:rFonts w:ascii="David" w:hAnsi="David" w:cs="David" w:hint="cs"/>
          <w:color w:val="000000"/>
          <w:rtl/>
        </w:rPr>
        <w:t>,</w:t>
      </w:r>
      <w:r w:rsidR="005B31AA">
        <w:rPr>
          <w:rFonts w:ascii="David" w:hAnsi="David" w:cs="David" w:hint="cs"/>
          <w:color w:val="000000"/>
          <w:rtl/>
        </w:rPr>
        <w:t xml:space="preserve"> במסגרת </w:t>
      </w:r>
      <w:r w:rsidR="009A2644">
        <w:rPr>
          <w:rFonts w:ascii="David" w:hAnsi="David" w:cs="David" w:hint="cs"/>
          <w:color w:val="000000"/>
          <w:rtl/>
        </w:rPr>
        <w:t>תיקון מס' 47 ל</w:t>
      </w:r>
      <w:r w:rsidR="005B31AA">
        <w:rPr>
          <w:rFonts w:ascii="David" w:hAnsi="David" w:cs="David" w:hint="cs"/>
          <w:color w:val="000000"/>
          <w:rtl/>
        </w:rPr>
        <w:t>חוק הוצאה לפועל, המכונה גם "חוק השמיטה", המאפשרת לחייבים שנמצאים בהליך איחוד תיקים והינם מוגבלים באמצעים לקבל הפ</w:t>
      </w:r>
      <w:r w:rsidR="009A2644">
        <w:rPr>
          <w:rFonts w:ascii="David" w:hAnsi="David" w:cs="David" w:hint="cs"/>
          <w:color w:val="000000"/>
          <w:rtl/>
        </w:rPr>
        <w:t>טר מחובותיהם בתיקי ההוצאה לפועל וגם אלו שאינם במסגרת הוצאה לפועל, למעט חובות שאינם ברי  הפטר- מזונות, משכנתא</w:t>
      </w:r>
    </w:p>
    <w:p w:rsidR="005B31AA" w:rsidRDefault="001064CE" w:rsidP="005B31AA">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חוק השמיטה נולד מתוך ראיה חברתית וסולידרית לעזור לאותם חייבים אשר הגיעו למצבם בתום לב ואי</w:t>
      </w:r>
      <w:r w:rsidR="005B31AA">
        <w:rPr>
          <w:rFonts w:ascii="David" w:hAnsi="David" w:cs="David"/>
          <w:color w:val="000000"/>
          <w:rtl/>
        </w:rPr>
        <w:t>ן ביכולתם הכלכלית לצאת ממצב זה</w:t>
      </w:r>
      <w:r w:rsidR="005B31AA">
        <w:rPr>
          <w:rFonts w:ascii="David" w:hAnsi="David" w:cs="David" w:hint="cs"/>
          <w:color w:val="000000"/>
          <w:rtl/>
        </w:rPr>
        <w:t>, ויותר מזה הליכי הגבייה מהם לא צפויים להביא תועלת משמעותית לנושים.</w:t>
      </w:r>
    </w:p>
    <w:p w:rsidR="001064CE" w:rsidRPr="00637B09" w:rsidRDefault="001064CE" w:rsidP="00637B09">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 </w:t>
      </w:r>
    </w:p>
    <w:p w:rsidR="002D6240" w:rsidRDefault="0015272A" w:rsidP="002D6240">
      <w:pPr>
        <w:pStyle w:val="NormalWeb"/>
        <w:bidi/>
        <w:spacing w:before="0" w:beforeAutospacing="0" w:after="0" w:afterAutospacing="0" w:line="360" w:lineRule="auto"/>
        <w:jc w:val="both"/>
        <w:rPr>
          <w:rFonts w:ascii="David" w:hAnsi="David" w:cs="David"/>
          <w:color w:val="000000"/>
          <w:rtl/>
        </w:rPr>
      </w:pPr>
      <w:r>
        <w:rPr>
          <w:rFonts w:ascii="David" w:hAnsi="David" w:cs="David" w:hint="cs"/>
          <w:color w:val="000000"/>
          <w:rtl/>
        </w:rPr>
        <w:t xml:space="preserve">מה הרציונל הקיים בחקיקת הוראת שעה זו? </w:t>
      </w:r>
    </w:p>
    <w:p w:rsidR="002D6240" w:rsidRDefault="002D6240" w:rsidP="002D6240">
      <w:pPr>
        <w:pStyle w:val="NormalWeb"/>
        <w:bidi/>
        <w:spacing w:before="0" w:beforeAutospacing="0" w:after="0" w:afterAutospacing="0" w:line="360" w:lineRule="auto"/>
        <w:jc w:val="both"/>
        <w:rPr>
          <w:rFonts w:ascii="David" w:hAnsi="David" w:cs="David"/>
          <w:color w:val="000000"/>
          <w:rtl/>
        </w:rPr>
      </w:pPr>
    </w:p>
    <w:p w:rsidR="001064CE" w:rsidRPr="00637B09" w:rsidRDefault="002D6240" w:rsidP="00A03F78">
      <w:pPr>
        <w:pStyle w:val="NormalWeb"/>
        <w:bidi/>
        <w:spacing w:before="0" w:beforeAutospacing="0" w:after="0" w:afterAutospacing="0" w:line="360" w:lineRule="auto"/>
        <w:jc w:val="both"/>
        <w:rPr>
          <w:rFonts w:ascii="David" w:hAnsi="David" w:cs="David"/>
          <w:color w:val="000000"/>
          <w:rtl/>
        </w:rPr>
      </w:pPr>
      <w:r>
        <w:rPr>
          <w:rFonts w:ascii="David" w:hAnsi="David" w:cs="David"/>
          <w:color w:val="000000"/>
          <w:rtl/>
        </w:rPr>
        <w:t>-</w:t>
      </w:r>
      <w:r w:rsidR="001064CE" w:rsidRPr="00637B09">
        <w:rPr>
          <w:rFonts w:ascii="David" w:hAnsi="David" w:cs="David"/>
          <w:color w:val="000000"/>
          <w:rtl/>
        </w:rPr>
        <w:t>עיקר הנהנים מחוק זה הם אותם חייבים אוחדו תיקיהם ונפסקו להם תשלומים חודשיים נמוכים אשר אינם מכסים את תוספת הפרשי הצמדה והריבית שבתיק ההוצאה לפועל.</w:t>
      </w:r>
      <w:r>
        <w:rPr>
          <w:rFonts w:ascii="David" w:hAnsi="David" w:cs="David" w:hint="cs"/>
          <w:color w:val="000000"/>
          <w:rtl/>
        </w:rPr>
        <w:t xml:space="preserve"> נראה שה</w:t>
      </w:r>
      <w:r w:rsidR="001064CE" w:rsidRPr="00637B09">
        <w:rPr>
          <w:rFonts w:ascii="David" w:hAnsi="David" w:cs="David"/>
          <w:color w:val="000000"/>
          <w:rtl/>
        </w:rPr>
        <w:t xml:space="preserve">חייבים </w:t>
      </w:r>
      <w:r>
        <w:rPr>
          <w:rFonts w:ascii="David" w:hAnsi="David" w:cs="David" w:hint="cs"/>
          <w:color w:val="000000"/>
          <w:rtl/>
        </w:rPr>
        <w:t>הללו</w:t>
      </w:r>
      <w:r w:rsidR="001064CE" w:rsidRPr="00637B09">
        <w:rPr>
          <w:rFonts w:ascii="David" w:hAnsi="David" w:cs="David"/>
          <w:color w:val="000000"/>
          <w:rtl/>
        </w:rPr>
        <w:t xml:space="preserve"> , למעשה , לעולם לא יצליחו לצמצם את יתרת חובם ועשויים להמשיך לשלם לעד.</w:t>
      </w:r>
      <w:r w:rsidR="00A03F78">
        <w:rPr>
          <w:rFonts w:ascii="David" w:hAnsi="David" w:cs="David" w:hint="cs"/>
          <w:color w:val="000000"/>
          <w:rtl/>
        </w:rPr>
        <w:t xml:space="preserve"> יש לזכור כי חייבים אלה הינם בעלי מגבלות </w:t>
      </w:r>
      <w:r w:rsidR="001064CE" w:rsidRPr="00637B09">
        <w:rPr>
          <w:rFonts w:ascii="David" w:hAnsi="David" w:cs="David"/>
          <w:color w:val="000000"/>
          <w:rtl/>
        </w:rPr>
        <w:t>קשות כגון</w:t>
      </w:r>
      <w:r w:rsidR="0015272A">
        <w:rPr>
          <w:rFonts w:ascii="David" w:hAnsi="David" w:cs="David" w:hint="cs"/>
          <w:color w:val="000000"/>
          <w:rtl/>
        </w:rPr>
        <w:t>:</w:t>
      </w:r>
      <w:r w:rsidR="001064CE" w:rsidRPr="00637B09">
        <w:rPr>
          <w:rFonts w:ascii="David" w:hAnsi="David" w:cs="David"/>
          <w:color w:val="000000"/>
          <w:rtl/>
        </w:rPr>
        <w:t xml:space="preserve"> איסור יציאה מהארץ ומגבלה על שימוש בכרטיסי אשראי , חוסר אפשרות לנהל חשבון בנק </w:t>
      </w:r>
      <w:proofErr w:type="spellStart"/>
      <w:r w:rsidR="001064CE" w:rsidRPr="00637B09">
        <w:rPr>
          <w:rFonts w:ascii="David" w:hAnsi="David" w:cs="David"/>
          <w:color w:val="000000"/>
          <w:rtl/>
        </w:rPr>
        <w:t>וכו</w:t>
      </w:r>
      <w:proofErr w:type="spellEnd"/>
      <w:r w:rsidR="001064CE" w:rsidRPr="00637B09">
        <w:rPr>
          <w:rFonts w:ascii="David" w:hAnsi="David" w:cs="David"/>
          <w:color w:val="000000"/>
          <w:rtl/>
        </w:rPr>
        <w:t xml:space="preserve">'. </w:t>
      </w:r>
    </w:p>
    <w:p w:rsidR="00A00F05" w:rsidRDefault="00A00F05" w:rsidP="00637B09">
      <w:pPr>
        <w:pStyle w:val="NormalWeb"/>
        <w:bidi/>
        <w:spacing w:before="0" w:beforeAutospacing="0" w:after="0" w:afterAutospacing="0" w:line="360" w:lineRule="auto"/>
        <w:jc w:val="both"/>
        <w:rPr>
          <w:rFonts w:ascii="David" w:hAnsi="David" w:cs="David"/>
          <w:color w:val="000000"/>
          <w:rtl/>
        </w:rPr>
      </w:pPr>
    </w:p>
    <w:p w:rsidR="0015272A" w:rsidRDefault="00A00F05" w:rsidP="00A00F05">
      <w:pPr>
        <w:pStyle w:val="NormalWeb"/>
        <w:bidi/>
        <w:spacing w:before="0" w:beforeAutospacing="0" w:after="0" w:afterAutospacing="0" w:line="360" w:lineRule="auto"/>
        <w:jc w:val="both"/>
        <w:rPr>
          <w:rFonts w:ascii="David" w:hAnsi="David" w:cs="David"/>
          <w:color w:val="000000"/>
          <w:rtl/>
        </w:rPr>
      </w:pPr>
      <w:r>
        <w:rPr>
          <w:rFonts w:ascii="David" w:hAnsi="David" w:cs="David" w:hint="cs"/>
          <w:b/>
          <w:bCs/>
          <w:color w:val="000000"/>
          <w:u w:val="single"/>
          <w:rtl/>
        </w:rPr>
        <w:t>מי זכאים לי</w:t>
      </w:r>
      <w:r w:rsidRPr="00A00F05">
        <w:rPr>
          <w:rFonts w:ascii="David" w:hAnsi="David" w:cs="David" w:hint="cs"/>
          <w:b/>
          <w:bCs/>
          <w:color w:val="000000"/>
          <w:u w:val="single"/>
          <w:rtl/>
        </w:rPr>
        <w:t>הנו</w:t>
      </w:r>
      <w:r w:rsidRPr="00A00F05">
        <w:rPr>
          <w:rFonts w:ascii="David" w:hAnsi="David" w:cs="David" w:hint="eastAsia"/>
          <w:b/>
          <w:bCs/>
          <w:color w:val="000000"/>
          <w:u w:val="single"/>
          <w:rtl/>
        </w:rPr>
        <w:t>ת</w:t>
      </w:r>
      <w:r w:rsidRPr="00A00F05">
        <w:rPr>
          <w:rFonts w:ascii="David" w:hAnsi="David" w:cs="David" w:hint="cs"/>
          <w:b/>
          <w:bCs/>
          <w:color w:val="000000"/>
          <w:u w:val="single"/>
          <w:rtl/>
        </w:rPr>
        <w:t xml:space="preserve"> מההפטר</w:t>
      </w:r>
      <w:r>
        <w:rPr>
          <w:rFonts w:ascii="David" w:hAnsi="David" w:cs="David" w:hint="cs"/>
          <w:color w:val="000000"/>
          <w:rtl/>
        </w:rPr>
        <w:t xml:space="preserve"> ?</w:t>
      </w:r>
    </w:p>
    <w:p w:rsidR="00A00F05" w:rsidRPr="00637B09" w:rsidRDefault="00A00F05" w:rsidP="009A2644">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 xml:space="preserve">א. </w:t>
      </w:r>
      <w:r w:rsidR="007A7B9F">
        <w:rPr>
          <w:rFonts w:ascii="David" w:hAnsi="David" w:cs="David"/>
          <w:color w:val="000000"/>
          <w:rtl/>
        </w:rPr>
        <w:tab/>
      </w:r>
      <w:r w:rsidRPr="00637B09">
        <w:rPr>
          <w:rFonts w:ascii="David" w:hAnsi="David" w:cs="David"/>
          <w:color w:val="000000"/>
          <w:rtl/>
        </w:rPr>
        <w:t>מי שהיה חייב מוגבל באמצעים 4 שנים</w:t>
      </w:r>
      <w:r w:rsidR="009A2644">
        <w:rPr>
          <w:rFonts w:ascii="David" w:hAnsi="David" w:cs="David" w:hint="cs"/>
          <w:color w:val="000000"/>
          <w:rtl/>
        </w:rPr>
        <w:t>, לפחות,</w:t>
      </w:r>
      <w:r w:rsidRPr="00637B09">
        <w:rPr>
          <w:rFonts w:ascii="David" w:hAnsi="David" w:cs="David"/>
          <w:color w:val="000000"/>
          <w:rtl/>
        </w:rPr>
        <w:t xml:space="preserve"> לפני הגשת הבקשה. </w:t>
      </w:r>
    </w:p>
    <w:p w:rsidR="00A00F05" w:rsidRPr="00637B09" w:rsidRDefault="00A00F05" w:rsidP="009A2644">
      <w:pPr>
        <w:pStyle w:val="NormalWeb"/>
        <w:bidi/>
        <w:spacing w:before="0" w:beforeAutospacing="0" w:after="0" w:afterAutospacing="0" w:line="360" w:lineRule="auto"/>
        <w:ind w:left="720" w:hanging="720"/>
        <w:jc w:val="both"/>
        <w:rPr>
          <w:rFonts w:ascii="David" w:hAnsi="David" w:cs="David"/>
          <w:color w:val="000000"/>
          <w:rtl/>
        </w:rPr>
      </w:pPr>
      <w:r w:rsidRPr="00637B09">
        <w:rPr>
          <w:rFonts w:ascii="David" w:hAnsi="David" w:cs="David"/>
          <w:color w:val="000000"/>
          <w:rtl/>
        </w:rPr>
        <w:t xml:space="preserve">ב. </w:t>
      </w:r>
      <w:r w:rsidR="007A7B9F">
        <w:rPr>
          <w:rFonts w:ascii="David" w:hAnsi="David" w:cs="David"/>
          <w:color w:val="000000"/>
          <w:rtl/>
        </w:rPr>
        <w:tab/>
      </w:r>
      <w:r w:rsidRPr="00637B09">
        <w:rPr>
          <w:rFonts w:ascii="David" w:hAnsi="David" w:cs="David"/>
          <w:color w:val="000000"/>
          <w:rtl/>
        </w:rPr>
        <w:t xml:space="preserve">סך החובות של החייב </w:t>
      </w:r>
      <w:r w:rsidR="009A2644">
        <w:rPr>
          <w:rFonts w:ascii="David" w:hAnsi="David" w:cs="David" w:hint="cs"/>
          <w:color w:val="000000"/>
          <w:rtl/>
        </w:rPr>
        <w:t xml:space="preserve">עד סך של </w:t>
      </w:r>
      <w:r w:rsidRPr="00637B09">
        <w:rPr>
          <w:rFonts w:ascii="David" w:hAnsi="David" w:cs="David"/>
          <w:color w:val="000000"/>
          <w:rtl/>
        </w:rPr>
        <w:t>800,000 ₪</w:t>
      </w:r>
      <w:r w:rsidR="009A2644">
        <w:rPr>
          <w:rFonts w:ascii="David" w:hAnsi="David" w:cs="David" w:hint="cs"/>
          <w:color w:val="000000"/>
          <w:rtl/>
        </w:rPr>
        <w:t>.</w:t>
      </w:r>
      <w:r w:rsidRPr="00637B09">
        <w:rPr>
          <w:rFonts w:ascii="David" w:hAnsi="David" w:cs="David"/>
          <w:color w:val="000000"/>
          <w:rtl/>
        </w:rPr>
        <w:t xml:space="preserve"> </w:t>
      </w:r>
    </w:p>
    <w:p w:rsidR="00A00F05" w:rsidRPr="00637B09" w:rsidRDefault="00A00F05" w:rsidP="00A00F05">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 xml:space="preserve">ג. </w:t>
      </w:r>
      <w:r w:rsidR="007A7B9F">
        <w:rPr>
          <w:rFonts w:ascii="David" w:hAnsi="David" w:cs="David"/>
          <w:color w:val="000000"/>
          <w:rtl/>
        </w:rPr>
        <w:tab/>
      </w:r>
      <w:r w:rsidRPr="00637B09">
        <w:rPr>
          <w:rFonts w:ascii="David" w:hAnsi="David" w:cs="David"/>
          <w:color w:val="000000"/>
          <w:rtl/>
        </w:rPr>
        <w:t>אין לחייב נכסים בעלי ערך הניתנים לעיקו</w:t>
      </w:r>
      <w:r w:rsidR="009A2644">
        <w:rPr>
          <w:rFonts w:ascii="David" w:hAnsi="David" w:cs="David"/>
          <w:color w:val="000000"/>
          <w:rtl/>
        </w:rPr>
        <w:t>ל, מימוש או מכירה</w:t>
      </w:r>
      <w:r w:rsidR="009A2644">
        <w:rPr>
          <w:rFonts w:ascii="David" w:hAnsi="David" w:cs="David" w:hint="cs"/>
          <w:color w:val="000000"/>
          <w:rtl/>
        </w:rPr>
        <w:t>, כמו בתים</w:t>
      </w:r>
    </w:p>
    <w:p w:rsidR="00A00F05" w:rsidRPr="00637B09" w:rsidRDefault="00A00F05" w:rsidP="00A00F05">
      <w:pPr>
        <w:pStyle w:val="NormalWeb"/>
        <w:bidi/>
        <w:spacing w:before="0" w:beforeAutospacing="0" w:after="0" w:afterAutospacing="0" w:line="360" w:lineRule="auto"/>
        <w:jc w:val="both"/>
        <w:rPr>
          <w:rFonts w:ascii="David" w:hAnsi="David" w:cs="David"/>
          <w:color w:val="000000"/>
          <w:rtl/>
        </w:rPr>
      </w:pPr>
      <w:r w:rsidRPr="00637B09">
        <w:rPr>
          <w:rFonts w:ascii="David" w:hAnsi="David" w:cs="David"/>
          <w:color w:val="000000"/>
          <w:rtl/>
        </w:rPr>
        <w:t>ד.</w:t>
      </w:r>
      <w:r>
        <w:rPr>
          <w:rFonts w:ascii="David" w:hAnsi="David" w:cs="David" w:hint="cs"/>
          <w:color w:val="000000"/>
          <w:rtl/>
        </w:rPr>
        <w:t xml:space="preserve"> </w:t>
      </w:r>
      <w:r w:rsidR="007A7B9F">
        <w:rPr>
          <w:rFonts w:ascii="David" w:hAnsi="David" w:cs="David"/>
          <w:color w:val="000000"/>
          <w:rtl/>
        </w:rPr>
        <w:tab/>
      </w:r>
      <w:r w:rsidRPr="00637B09">
        <w:rPr>
          <w:rFonts w:ascii="David" w:hAnsi="David" w:cs="David"/>
          <w:color w:val="000000"/>
          <w:rtl/>
        </w:rPr>
        <w:t xml:space="preserve">החייב עמד בצו התשלומים שנקבע לו ע"י הרשם בשלוש השנים שקדמו לבקשת ההפטר . </w:t>
      </w:r>
    </w:p>
    <w:p w:rsidR="00A00F05" w:rsidRDefault="00A00F05" w:rsidP="009A2644">
      <w:pPr>
        <w:pStyle w:val="NormalWeb"/>
        <w:bidi/>
        <w:spacing w:before="0" w:beforeAutospacing="0" w:after="0" w:afterAutospacing="0" w:line="360" w:lineRule="auto"/>
        <w:ind w:left="720" w:hanging="720"/>
        <w:jc w:val="both"/>
        <w:rPr>
          <w:rFonts w:ascii="David" w:hAnsi="David" w:cs="David"/>
          <w:color w:val="000000"/>
          <w:rtl/>
        </w:rPr>
      </w:pPr>
      <w:r w:rsidRPr="00637B09">
        <w:rPr>
          <w:rFonts w:ascii="David" w:hAnsi="David" w:cs="David"/>
          <w:color w:val="000000"/>
          <w:rtl/>
        </w:rPr>
        <w:t xml:space="preserve">ה. </w:t>
      </w:r>
      <w:r w:rsidR="007A7B9F">
        <w:rPr>
          <w:rFonts w:ascii="David" w:hAnsi="David" w:cs="David"/>
          <w:color w:val="000000"/>
          <w:rtl/>
        </w:rPr>
        <w:tab/>
      </w:r>
      <w:r w:rsidR="009A2644">
        <w:rPr>
          <w:rFonts w:ascii="David" w:hAnsi="David" w:cs="David" w:hint="cs"/>
          <w:color w:val="000000"/>
          <w:rtl/>
        </w:rPr>
        <w:t xml:space="preserve">החייב לא נמצא בהליך פשיטת רגל או לא קיים הליך שהסתיים במהלך חמש השנים שקדמו לבקשה להפטר. </w:t>
      </w:r>
    </w:p>
    <w:p w:rsidR="007A7B9F" w:rsidRPr="00637B09" w:rsidRDefault="007A7B9F" w:rsidP="009A2644">
      <w:pPr>
        <w:pStyle w:val="NormalWeb"/>
        <w:bidi/>
        <w:spacing w:before="0" w:beforeAutospacing="0" w:after="0" w:afterAutospacing="0" w:line="360" w:lineRule="auto"/>
        <w:ind w:left="720" w:hanging="720"/>
        <w:jc w:val="both"/>
        <w:rPr>
          <w:rFonts w:ascii="David" w:hAnsi="David" w:cs="David"/>
          <w:color w:val="000000"/>
          <w:rtl/>
        </w:rPr>
      </w:pPr>
    </w:p>
    <w:p w:rsidR="001064CE" w:rsidRPr="00637B09" w:rsidRDefault="001064CE" w:rsidP="0015272A">
      <w:pPr>
        <w:pStyle w:val="NormalWeb"/>
        <w:bidi/>
        <w:spacing w:before="0" w:beforeAutospacing="0" w:after="0" w:afterAutospacing="0" w:line="360" w:lineRule="auto"/>
        <w:jc w:val="both"/>
        <w:rPr>
          <w:rFonts w:ascii="David" w:hAnsi="David" w:cs="David"/>
          <w:color w:val="000000"/>
          <w:rtl/>
        </w:rPr>
      </w:pPr>
    </w:p>
    <w:p w:rsidR="001064CE" w:rsidRPr="00637B09" w:rsidRDefault="009A2644" w:rsidP="000617A6">
      <w:pPr>
        <w:pStyle w:val="NormalWeb"/>
        <w:bidi/>
        <w:spacing w:before="0" w:beforeAutospacing="0" w:after="0" w:afterAutospacing="0" w:line="360" w:lineRule="auto"/>
        <w:jc w:val="both"/>
        <w:rPr>
          <w:rFonts w:ascii="David" w:hAnsi="David" w:cs="David"/>
          <w:color w:val="000000"/>
          <w:rtl/>
        </w:rPr>
      </w:pPr>
      <w:r>
        <w:rPr>
          <w:rFonts w:ascii="David" w:hAnsi="David" w:cs="David" w:hint="cs"/>
          <w:b/>
          <w:bCs/>
          <w:color w:val="000000"/>
          <w:u w:val="single"/>
          <w:rtl/>
        </w:rPr>
        <w:t>היתרון שבקבלת הפטר במסגרת הוצאה לפועל, לעומת הפטר במסגרת הליך פשיטת הרגל, הוא בכך שלחייב לא ממונה כונס נכסים ואין חיוב בדיווח דו חודשי על הוצאות והכנסות דבר הכפוף לבדיקת הכו</w:t>
      </w:r>
      <w:r w:rsidR="000617A6">
        <w:rPr>
          <w:rFonts w:ascii="David" w:hAnsi="David" w:cs="David" w:hint="cs"/>
          <w:b/>
          <w:bCs/>
          <w:color w:val="000000"/>
          <w:u w:val="single"/>
          <w:rtl/>
        </w:rPr>
        <w:t>נס ולחקירתו. החייב כבר מצוי בהליך איחוד התיקים ומשלם ברצף לפחות 3 שנים ומוכיח עמידה ביתר התנאים עשוי לקבל הפטר בהתאם לשיקול הדעת של רשם ההוצאה לפועל.</w:t>
      </w:r>
    </w:p>
    <w:p w:rsidR="000617A6" w:rsidRDefault="000617A6" w:rsidP="00637B09">
      <w:pPr>
        <w:pStyle w:val="NormalWeb"/>
        <w:bidi/>
        <w:spacing w:before="0" w:beforeAutospacing="0" w:after="0" w:afterAutospacing="0" w:line="360" w:lineRule="auto"/>
        <w:jc w:val="both"/>
        <w:rPr>
          <w:rFonts w:ascii="David" w:hAnsi="David" w:cs="David"/>
          <w:color w:val="000000"/>
          <w:rtl/>
        </w:rPr>
      </w:pPr>
    </w:p>
    <w:p w:rsidR="00614F9A" w:rsidRPr="00637B09" w:rsidRDefault="001064CE" w:rsidP="000617A6">
      <w:pPr>
        <w:pStyle w:val="NormalWeb"/>
        <w:bidi/>
        <w:spacing w:before="0" w:beforeAutospacing="0" w:after="0" w:afterAutospacing="0" w:line="360" w:lineRule="auto"/>
        <w:jc w:val="both"/>
        <w:rPr>
          <w:rFonts w:ascii="David" w:hAnsi="David" w:cs="David"/>
        </w:rPr>
      </w:pPr>
      <w:r w:rsidRPr="00637B09">
        <w:rPr>
          <w:rFonts w:ascii="David" w:hAnsi="David" w:cs="David"/>
          <w:color w:val="000000"/>
          <w:rtl/>
        </w:rPr>
        <w:lastRenderedPageBreak/>
        <w:t>החייב</w:t>
      </w:r>
      <w:r w:rsidR="000617A6">
        <w:rPr>
          <w:rFonts w:ascii="David" w:hAnsi="David" w:cs="David" w:hint="cs"/>
          <w:color w:val="000000"/>
          <w:rtl/>
        </w:rPr>
        <w:t xml:space="preserve"> צריך</w:t>
      </w:r>
      <w:r w:rsidRPr="00637B09">
        <w:rPr>
          <w:rFonts w:ascii="David" w:hAnsi="David" w:cs="David"/>
          <w:color w:val="000000"/>
          <w:rtl/>
        </w:rPr>
        <w:t xml:space="preserve"> לקחת בחשבון כי בעת הגשת הבקשה הוא חושף את כלל נכסיו והכנסותיו ובעת דחיה של ההליך עלולים </w:t>
      </w:r>
      <w:proofErr w:type="spellStart"/>
      <w:r w:rsidRPr="00637B09">
        <w:rPr>
          <w:rFonts w:ascii="David" w:hAnsi="David" w:cs="David"/>
          <w:color w:val="000000"/>
          <w:rtl/>
        </w:rPr>
        <w:t>נושיו</w:t>
      </w:r>
      <w:proofErr w:type="spellEnd"/>
      <w:r w:rsidRPr="00637B09">
        <w:rPr>
          <w:rFonts w:ascii="David" w:hAnsi="David" w:cs="David"/>
          <w:color w:val="000000"/>
          <w:rtl/>
        </w:rPr>
        <w:t xml:space="preserve"> לעשות שימוש בנתונים שחשף בכדי להעלות את צו התשלומים. </w:t>
      </w:r>
    </w:p>
    <w:sectPr w:rsidR="00614F9A" w:rsidRPr="00637B09" w:rsidSect="004A6D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01"/>
    <w:rsid w:val="000617A6"/>
    <w:rsid w:val="001064CE"/>
    <w:rsid w:val="0015272A"/>
    <w:rsid w:val="002D6240"/>
    <w:rsid w:val="004A6D9B"/>
    <w:rsid w:val="0059499D"/>
    <w:rsid w:val="005B31AA"/>
    <w:rsid w:val="00614F9A"/>
    <w:rsid w:val="00637B09"/>
    <w:rsid w:val="007166D2"/>
    <w:rsid w:val="007A7B9F"/>
    <w:rsid w:val="009A2644"/>
    <w:rsid w:val="00A00F05"/>
    <w:rsid w:val="00A03F78"/>
    <w:rsid w:val="00B24221"/>
    <w:rsid w:val="00BD5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4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4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Shany ADV</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Shany Cohen</dc:creator>
  <cp:lastModifiedBy>Administrator</cp:lastModifiedBy>
  <cp:revision>2</cp:revision>
  <dcterms:created xsi:type="dcterms:W3CDTF">2016-11-30T11:27:00Z</dcterms:created>
  <dcterms:modified xsi:type="dcterms:W3CDTF">2016-11-30T11:27:00Z</dcterms:modified>
</cp:coreProperties>
</file>